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WAnhV (Brandenburg) — Inkrafttreten</w:t>
      </w:r>
    </w:p>
    <w:p>
      <w:r>
        <w:rPr>
          <w:color w:val="555555"/>
          <w:sz w:val="18"/>
        </w:rPr>
        <w:t xml:space="preserve">Wiederansiedlungsanhörungsverordnung Horno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12. November 1997</w:t>
      </w:r>
    </w:p>
    <w:p>
      <w:r>
        <w:t xml:space="preserve">Der Minister für Umwelt, Naturschutz</w:t>
      </w:r>
    </w:p>
    <w:p>
      <w:r>
        <w:t xml:space="preserve">und Raumordnung</w:t>
      </w:r>
    </w:p>
    <w:p>
      <w:r>
        <w:t xml:space="preserve">Matthias Platzeck</w:t>
      </w:r>
    </w:p>
    <w:p>
      <w:r>
        <w:rPr>
          <w:color w:val="555555"/>
          <w:sz w:val="17"/>
        </w:rPr>
        <w:t xml:space="preserve">Zitiervorschlag: § 20 WAnhV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https://recht.nulegal.eu/gesetze/WAnhV/20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