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WAnhV (Brandenburg) — Anhörungsberechtigte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Anhörungsberechtigt ist, wer am Abstimmungstermin</w:t>
      </w:r>
    </w:p>
    <w:p>
      <w:r>
        <w:t xml:space="preserve">Deutscher im Sinne von Artikel 116 Abs. 1 des Grundgesetzes oder</w:t>
      </w:r>
    </w:p>
    <w:p>
      <w:r>
        <w:t xml:space="preserve">Staatsangehöriger eines anderen Mitgliedsstaates der Europäischen</w:t>
      </w:r>
    </w:p>
    <w:p>
      <w:r>
        <w:t xml:space="preserve">Union (Unionsbürger) ist,</w:t>
      </w:r>
    </w:p>
    <w:p>
      <w:r>
        <w:t xml:space="preserve">das achtzehnte Lebensjahr vollendet hat und</w:t>
      </w:r>
    </w:p>
    <w:p>
      <w:r>
        <w:t xml:space="preserve">in der Gemeinde Horno die Wohnung, bei mehreren Wohnungen die Hauptwohnung,</w:t>
      </w:r>
    </w:p>
    <w:p>
      <w:r>
        <w:t xml:space="preserve">hat.</w:t>
      </w:r>
    </w:p>
    <w:p>
      <w:r>
        <w:rPr>
          <w:color w:val="555555"/>
          <w:sz w:val="17"/>
        </w:rPr>
        <w:t xml:space="preserve">Zitiervorschlag: § 2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