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WAnhV (Brandenburg) — Kosten</w:t>
      </w:r>
    </w:p>
    <w:p>
      <w:r>
        <w:rPr>
          <w:color w:val="555555"/>
          <w:sz w:val="18"/>
        </w:rPr>
        <w:t xml:space="preserve">Wiederansiedlungsanhörungsverordnung Horno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Kosten der Anhörung trägt das Land.</w:t>
      </w:r>
    </w:p>
    <w:p>
      <w:r>
        <w:rPr>
          <w:color w:val="555555"/>
          <w:sz w:val="17"/>
        </w:rPr>
        <w:t xml:space="preserve">Zitiervorschlag: § 19 WAnhV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https://recht.nulegal.eu/gesetze/WAnhV/19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