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WAnhV (Brandenburg) — Fristen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dieser Rechtsverordnung vorgesehenen Fristen und</w:t>
      </w:r>
    </w:p>
    <w:p>
      <w:r>
        <w:t xml:space="preserve">Termine verlängern und ändern sich nicht dadurch, daß der</w:t>
      </w:r>
    </w:p>
    <w:p>
      <w:r>
        <w:t xml:space="preserve">letzte Tag der Frist oder ein Termin auf einen Sonnabend, einen Sonntag oder</w:t>
      </w:r>
    </w:p>
    <w:p>
      <w:r>
        <w:t xml:space="preserve">einen gesetzlichen Feiertag fällt. Eine Wiedereinsetzung in den vorherigen</w:t>
      </w:r>
    </w:p>
    <w:p>
      <w:r>
        <w:t xml:space="preserve">Stand ist ausgeschlossen.</w:t>
      </w:r>
    </w:p>
    <w:p>
      <w:r>
        <w:rPr>
          <w:color w:val="555555"/>
          <w:sz w:val="17"/>
        </w:rPr>
        <w:t xml:space="preserve">Zitiervorschlag: § 18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