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WAnhV (Brandenburg) — Zweifelsfälle</w:t>
      </w:r>
    </w:p>
    <w:p>
      <w:r>
        <w:rPr>
          <w:color w:val="555555"/>
          <w:sz w:val="18"/>
        </w:rPr>
        <w:t xml:space="preserve">Wiederansiedlungsanhörungsverordnung Horno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Ergeben sich Zweifel bei der Vorbereitung oder</w:t>
      </w:r>
    </w:p>
    <w:p>
      <w:r>
        <w:t xml:space="preserve">Durchführung des Abstimmungstermins, so sind die Bestimmungen des</w:t>
      </w:r>
    </w:p>
    <w:p>
      <w:r>
        <w:t xml:space="preserve">Brandenburgischen Kommunalwahlgesetzes sinngemäß anzuwenden.</w:t>
      </w:r>
    </w:p>
    <w:p>
      <w:r>
        <w:rPr>
          <w:color w:val="555555"/>
          <w:sz w:val="17"/>
        </w:rPr>
        <w:t xml:space="preserve">Zitiervorschlag: § 17 WAnhV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https://recht.nulegal.eu/gesetze/WAnhV/17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