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WAnhV (Brandenburg) — Ermittlung des Abstimmungsergebnisses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Anschluß an die Abstimmung ermittelt der</w:t>
      </w:r>
    </w:p>
    <w:p>
      <w:r>
        <w:t xml:space="preserve">Abstimmungsvorstand das Abstimmungsergebnis. Das Abstimmungsergebnis ist</w:t>
      </w:r>
    </w:p>
    <w:p>
      <w:r>
        <w:t xml:space="preserve">unverzüglich dem Vorsitzenden des Anhörungsgremiums zu</w:t>
      </w:r>
    </w:p>
    <w:p>
      <w:r>
        <w:t xml:space="preserve">übermitteln.</w:t>
      </w:r>
    </w:p>
    <w:p>
      <w:r>
        <w:rPr>
          <w:color w:val="555555"/>
          <w:sz w:val="17"/>
        </w:rPr>
        <w:t xml:space="preserve">Zitiervorschlag: § 15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