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WAnhV (Brandenburg) — Anwendungsbereich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das Verfahren der Anhörung der</w:t>
      </w:r>
    </w:p>
    <w:p>
      <w:r>
        <w:t xml:space="preserve">Bürgerinnen und Bürger der Gemeinde Horno zum Gebiet der</w:t>
      </w:r>
    </w:p>
    <w:p>
      <w:r>
        <w:t xml:space="preserve">Wiederansiedlung.</w:t>
      </w:r>
    </w:p>
    <w:p>
      <w:r>
        <w:rPr>
          <w:color w:val="555555"/>
          <w:sz w:val="17"/>
        </w:rPr>
        <w:t xml:space="preserve">Zitiervorschlag: § 1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