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WAStAÜStVtr — Dienstort</w:t>
      </w:r>
    </w:p>
    <w:p>
      <w:r>
        <w:rPr>
          <w:color w:val="555555"/>
          <w:sz w:val="18"/>
        </w:rPr>
        <w:t xml:space="preserve">Staatsvertrag über den Übergang der Aufgaben der Deutschen Dienststelle für die Benachrichtigung der nächsten Angehörigen von Gefallenen der ehemaligen Deutschen Wehrmacht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Artikel 2 genannten Beschäftigten werden am Dienstort Berlin übernommen.</w:t>
      </w:r>
    </w:p>
    <w:p>
      <w:r>
        <w:rPr>
          <w:color w:val="555555"/>
          <w:sz w:val="17"/>
        </w:rPr>
        <w:t xml:space="preserve">Zitiervorschlag: Art 3 WAStAÜStVtr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https://recht.nulegal.eu/gesetze/WAStA%C3%9CStVtr/3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