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WährUmStAbschlG — Versicherungsunternehmen</w:t>
      </w:r>
    </w:p>
    <w:p>
      <w:r>
        <w:rPr>
          <w:color w:val="555555"/>
          <w:sz w:val="18"/>
        </w:rPr>
        <w:t xml:space="preserve">Gesetz zum Abschluß der Währungsumstellung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3 Abs. 1, 2 und 5, § 5 Abs. 1 und § 6 sind auf Ansprüche gegen Versicherungsunternehmen, die eine Umstellungsrechnung aufgestellt haben oder auf die Artikel 3 des Zweiten Gesetzes zur Änderung und Ergänzung des Gesetzes zur Regelung von Ansprüchen aus Lebens- und Rentenversicherungen vom 25. Mai 1964 (Bundesgesetzbl. I S. 329) angewendet worden ist, entsprechend anzuwenden. Satz 1 gilt nicht für Ansprüche, die auf Grund des Gesetzes zur Regelung von Ansprüchen aus Lebens- und Rentenversicherungen in der Fassung der Bekanntmachung vom 3. Juli 1964 (Bundesgesetzbl. I S. 433) geltend gemacht werden können.</w:t>
      </w:r>
    </w:p>
    <w:p>
      <w:r>
        <w:rPr>
          <w:color w:val="555555"/>
          <w:sz w:val="17"/>
        </w:rPr>
        <w:t xml:space="preserve">Zitiervorschlag: § 7 WährUmStAbschlG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https://recht.nulegal.eu/gesetze/W%C3%A4hrUmStAbschlG/7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