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WährUmStAbschlG — Erlöschen von Ansprüchen</w:t>
      </w:r>
    </w:p>
    <w:p>
      <w:r>
        <w:rPr>
          <w:color w:val="555555"/>
          <w:sz w:val="18"/>
        </w:rPr>
        <w:t xml:space="preserve">Gesetz zum Abschluß der Währungsumstellung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gegen Geldinstitute, die vor dem 9. Mai 1945 im Geschäftsbetrieb einer Niederlassung begründet worden sind, die sich außerhalb des Geltungsbereichs dieses Gesetzes befunden hat und nicht nach § 3 der Fünfunddreißigsten Durchführungsverordnung zum Umstellungsgesetz als verlagert anerkannt worden ist, erlöschen mit Ablauf des 30. Juni 1976.</w:t>
      </w:r>
    </w:p>
    <w:p>
      <w:r>
        <w:rPr>
          <w:color w:val="555555"/>
          <w:sz w:val="17"/>
        </w:rPr>
        <w:t xml:space="preserve">Zitiervorschlag: § 4 WährUmStAbschlG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https://recht.nulegal.eu/gesetze/W%C3%A4hrUmStAbschlG/4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