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WährUmStAbschlG — Sonderregelung für Berlin</w:t>
      </w:r>
    </w:p>
    <w:p>
      <w:r>
        <w:rPr>
          <w:color w:val="555555"/>
          <w:sz w:val="18"/>
        </w:rPr>
        <w:t xml:space="preserve">Gesetz zum Abschluß der Währungsumstellung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Land Berlin gelten die vorstehenden Bestimmungen mit folgender Maßgabe:</w:t>
      </w:r>
    </w:p>
    <w:p>
      <w:pPr>
        <w:ind w:left="420"/>
      </w:pPr>
      <w:r>
        <w:t xml:space="preserve">1. Es treten</w:t>
      </w:r>
    </w:p>
    <w:p>
      <w:pPr>
        <w:ind w:left="780"/>
      </w:pPr>
      <w:r>
        <w:t xml:space="preserve">a) in § 1 Nr. 1 an die Stelle der Worte "Geldinstitute im Währungsgebiet (§ 9 Abs. 2 des Währungsgesetzes, § 1 Abs. 1 Nr. 5 des Umstellungsgesetzes, § 1 der Fünfunddreißigsten Durchführungsverordnung zum Umstellungsgesetz)" die Worte "Geldinstitute (Artikel I Nr. 1 Buchstabe a der Vierten Verordnung zur Neuordnung des Geldwesens (Umstellungsergänzungsverordnung) vom 20. März 1949 - Verordnungsblatt für Groß-Berlin I S. 88 -)";</w:t>
      </w:r>
    </w:p>
    <w:p>
      <w:pPr>
        <w:ind w:left="780"/>
      </w:pPr>
      <w:r>
        <w:t xml:space="preserve">b) in § 2 Abs. 1 Nr. 1 an die Stelle der Worte "Altgeldguthaben bei Geldinstituten im Währungsgebiet (§ 1 Abs. 1 Nr. 1 des Umstellungsgesetzes, § 4 der Fünfunddreißigsten Durchführungsverordnung zum Umstellungsgesetz)" die Worte "Altgeldguthaben bei Geldinstituten im betreffenden Gebiet (Artikel 1 Abs. 1 Nr. 1 der Zweiten Verordnung zur Neuordnung des Geldwesens (Umstellungsverordnung) vom 4. Juli 1948 - Verordnungsblatt für Groß-Berlin I S. 374 -)";</w:t>
      </w:r>
    </w:p>
    <w:p>
      <w:pPr>
        <w:ind w:left="780"/>
      </w:pPr>
      <w:r>
        <w:t xml:space="preserve">c) in § 3 Abs. 6 an die Stelle der Worte "bei Geldinstituten im Währungsgebiet als Altgeldguthaben der Gruppe IV (§ 1 Abs. 1 Nr. 1 Buchstabe d des Umstellungsgesetzes)" die Worte "bei Geldinstituten in Berlin als Altgeldguthaben der Gruppe IV (Artikel 1 Abs. 1 Nr. 1 Buchstabe d der Umstellungsverordnung)".</w:t>
      </w:r>
    </w:p>
    <w:p>
      <w:pPr>
        <w:ind w:left="420"/>
      </w:pPr>
      <w:r>
        <w:t xml:space="preserve">2. Bei der Anwendung des § 1 Nr. 4 sind Bausparkassen die in der Durchführungsbestimmung Nummer 7 vom 26. Oktober 1950 zur Vierten Verordnung zur Neuordnung des Geldwesens (Umstellungsergänzungsverordnung) vom 20. März 1949 (Westberliner Bausparkassenbestimmung) - Verordnungsblatt für Berlin I S. 494 - aufgeführten Bausparkassen sowie die Landesbausparkasse Berlin und die Bausparkasse Deutsche Bau-Gemeinschaft AG.</w:t>
      </w:r>
    </w:p>
    <w:p>
      <w:r>
        <w:rPr>
          <w:color w:val="555555"/>
          <w:sz w:val="17"/>
        </w:rPr>
        <w:t xml:space="preserve">Zitiervorschlag: § 13 WährUmStAbschlG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https://recht.nulegal.eu/gesetze/W%C3%A4hrUmStAbschlG/13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