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WährUmStAbschlG — Aufhebung von Rechtsvorschriften</w:t>
      </w:r>
    </w:p>
    <w:p>
      <w:r>
        <w:rPr>
          <w:color w:val="555555"/>
          <w:sz w:val="18"/>
        </w:rPr>
        <w:t xml:space="preserve">Gesetz zum Abschluß der Währungsumstellung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Aufgehoben werden</w:t>
      </w:r>
    </w:p>
    <w:p>
      <w:pPr>
        <w:ind w:left="420"/>
      </w:pPr>
      <w:r>
        <w:t xml:space="preserve">1. die Elfte, Zwölfte und Dreizehnte Durchführungsverordnung zum Währungsgesetz,</w:t>
      </w:r>
    </w:p>
    <w:p>
      <w:pPr>
        <w:ind w:left="420"/>
      </w:pPr>
      <w:r>
        <w:t xml:space="preserve">2. § 17 der Zweiundvierzigsten, § 17 der Dreiundvierzigsten und § 20 der Vierundvierzigsten Durchführungsverordnung zum Umstellungsgesetz,</w:t>
      </w:r>
    </w:p>
    <w:p>
      <w:pPr>
        <w:ind w:left="420"/>
      </w:pPr>
      <w:r>
        <w:t xml:space="preserve">3. die §§ 2 bis 4 der Fünfundvierzigsten Durchführungsverordnung zum Umstellungsgesetz,</w:t>
      </w:r>
    </w:p>
    <w:p>
      <w:pPr>
        <w:ind w:left="420"/>
      </w:pPr>
      <w:r>
        <w:t xml:space="preserve">4. § 18 des Altbankengesetzes,</w:t>
      </w:r>
    </w:p>
    <w:p>
      <w:pPr>
        <w:ind w:left="420"/>
      </w:pPr>
      <w:r>
        <w:t xml:space="preserve">5. § 8 Abs. 4 des Altbanken-Bilanz-Gesetzes vom 10. Dezember 1953 (Gesetz- und Verordnungsblatt für Berlin S. 1488), zuletzt geändert durch das Dritte Umstellungsergänzungsgesetz vom 22. Januar 1964 (Bundesgesetzbl. I S. 33).</w:t>
      </w:r>
    </w:p>
    <w:p>
      <w:r>
        <w:t xml:space="preserve">6. 7. 8.</w:t>
      </w:r>
    </w:p>
    <w:p>
      <w:r>
        <w:rPr>
          <w:color w:val="555555"/>
          <w:sz w:val="17"/>
        </w:rPr>
        <w:t xml:space="preserve">Zitiervorschlag: § 12 WährUmStAbschlG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https://recht.nulegal.eu/gesetze/W%C3%A4hrUmStAbschlG/12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