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WählGTranspG (Nordrhein-Westfalen)</w:t>
      </w:r>
    </w:p>
    <w:p>
      <w:r>
        <w:rPr>
          <w:color w:val="555555"/>
          <w:sz w:val="18"/>
        </w:rPr>
        <w:t xml:space="preserve">Wählergruppentransparenzgesetz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25. März 2022</w:t>
      </w:r>
    </w:p>
    <w:p>
      <w:r>
        <w:t xml:space="preserve">(Artikel 1 des Gesetzes vom 25. März 2022 (GV. NRW. S. 412))</w:t>
      </w:r>
    </w:p>
    <w:p>
      <w:r>
        <w:rPr>
          <w:color w:val="555555"/>
          <w:sz w:val="17"/>
        </w:rPr>
        <w:t xml:space="preserve">Zitiervorschlag: Volltext WählGTranspG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https://recht.nulegal.eu/gesetze/W%C3%A4hlGTranspG/volltext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