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WählGTranspG (Nordrhein-Westfalen) — Rechtsfolgen der Unrichtigkeit des Rechenschaftsberichts</w:t>
      </w:r>
    </w:p>
    <w:p>
      <w:r>
        <w:rPr>
          <w:color w:val="555555"/>
          <w:sz w:val="18"/>
        </w:rPr>
        <w:t xml:space="preserve">Wählergruppentransparenzgesetz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Stellt der Präsident des Landtags Unrichtigkeiten im Rechenschaftsbericht fest, entsteht gegen die Wählergruppe ein Anspruch in Höhe des den unrichtigen Angaben entsprechenden Betrages. Betreffen Unrichtigkeiten das Haus- und Grundvermögen oder Beteiligungen an Unternehmen, beträgt der Anspruch fünf vom Hundert der nicht aufgeführten oder der unrichtig angegebenen Vermögenswerte.</w:t>
      </w:r>
    </w:p>
    <w:p>
      <w:r>
        <w:t xml:space="preserve">(2) Beruht die Unrichtigkeit auf grober Fahrlässigkeit oder auf Vorsatz, beträgt der Anspruch das Zweifache des den unrichtigen Angaben entsprechenden Betrags, bei Haus- und Grundvermögen oder Beteiligungen an Unternehmen zehn vom Hundert der nicht aufgeführten oder unrichtig angegebenen Vermögenswerte.</w:t>
      </w:r>
    </w:p>
    <w:p>
      <w:r>
        <w:t xml:space="preserve">(3) Der Präsident des Landtags stellt die Verpflichtung der Wählergruppe zur Zahlung des Betrages durch Verwaltungsakt fest. Der Verwaltungsakt darf nur innerhalb von sechs Jahren nach Einreichung des Rechenschaftsberichts erlassen werden.</w:t>
      </w:r>
    </w:p>
    <w:p>
      <w:r>
        <w:rPr>
          <w:color w:val="555555"/>
          <w:sz w:val="17"/>
        </w:rPr>
        <w:t xml:space="preserve">Zitiervorschlag: § 6 WählGTranspG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https://recht.nulegal.eu/gesetze/W%C3%A4hlGTranspG/6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