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WählGTranspG (Nordrhein-Westfalen) — Einreichung beim Präsidentendes Landtags</w:t>
      </w:r>
    </w:p>
    <w:p>
      <w:r>
        <w:rPr>
          <w:color w:val="555555"/>
          <w:sz w:val="18"/>
        </w:rPr>
        <w:t xml:space="preserve">Wählergruppentransparenzgesetz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Rechenschaftsbericht ist bis zum 30. September des auf das Rechnungsjahr folgenden Jahres beim Präsidenten des Landtags einzureichen.</w:t>
      </w:r>
    </w:p>
    <w:p>
      <w:r>
        <w:t xml:space="preserve">(2) Der Präsident des Landtags erteilt der Wählergruppe unverzüglich eine Bestätigung darüber, dass der Rechenschaftsbericht fristgerecht eingereicht worden ist, sofern der Rechenschaftsbericht nicht an einem offensichtlichen Mangel leidet. Ein offensichtlicher Mangel liegt insbesondere vor, wenn der Rechenschaftsbericht ein Vermögen oder Einnahmen im Rechnungsjahr von mehr als 10.000 Euro deklariert, aber keinen Prüfvermerk nach § 3 Absatz 2 enthält.</w:t>
      </w:r>
    </w:p>
    <w:p>
      <w:r>
        <w:t xml:space="preserve">(3) Der Präsident des Landtags prüft die Rechenschaftsberichte, insbesondere die nach § 3 Absatz 1 Satz 2 ohne Prüfvermerk eingereichten Rechenschaftsberichte, stichprobenartig auf Unrichtigkeiten. Festgestellte Unrichtigkeiten im Rechenschaftsbericht sind von der Wählergruppe unverzüglich zu korrigieren.</w:t>
      </w:r>
    </w:p>
    <w:p>
      <w:r>
        <w:t xml:space="preserve">(4) Der Präsident des Landtags erstellt jährlich eine vergleichende Kurzübersicht über die Einnahmen und Ausgaben sowie über die Vermögensverhältnisse der Wählergruppen. Die Kurzübersicht wird als Landtagsdrucksache verteilt.</w:t>
      </w:r>
    </w:p>
    <w:p>
      <w:r>
        <w:rPr>
          <w:color w:val="555555"/>
          <w:sz w:val="17"/>
        </w:rPr>
        <w:t xml:space="preserve">Zitiervorschlag: § 4 WählGTranspG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https://recht.nulegal.eu/gesetze/W%C3%A4hlGTranspG/4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