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WählGTranspG (Nordrhein-Westfalen) — Pflicht zur Rechenschaftslegung</w:t>
      </w:r>
    </w:p>
    <w:p>
      <w:r>
        <w:rPr>
          <w:color w:val="555555"/>
          <w:sz w:val="18"/>
        </w:rPr>
        <w:t xml:space="preserve">Wählergruppentransparenzgesetz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einer Wählergruppe, deren gewählte Vertreter aufgrund des bei der Kommunalwahl erzielten Ergebnisses in einer nach § 1 Absatz 1 des Kommunalwahlgesetzes gewählten Vertretung aus eigener Kraft eine Fraktion oder Gruppe stellen können, hat über die Herkunft und Verwendung der Mittel sowie über das Vermögen der Wählergruppe zum Ende des Kalenderjahres (Rechnungsjahr) in einem Rechenschaftsbericht wahrheitsgemäß und nach bestem Wissen und Gewissen öffentlich Rechenschaft zu geben.</w:t>
      </w:r>
    </w:p>
    <w:p>
      <w:r>
        <w:t xml:space="preserve">(2) Der Rechenschaftsbericht besteht aus einer den Anforderungen des § 259 Absatz 1 Bürgerliches Gesetzbuch entsprechenden Rechnung, die eine geordnete Zusammenstellung der Einnahmen und der Ausgaben enthält. Er gibt entsprechend den tatsächlichen Verhältnissen Auskunft über die Herkunft und Verwendung der Mittel sowie über das Vermögen der Wählergruppe. Der Präsident des Landtags kann Festlegungen über die Art und Weise treffen, wie die Einnahmen und Ausgaben im Rechenschaftsbericht darzustellen sind. Die Regelungen des § 25 Absatz 3 des Gesetzes über die politischen Parteien (Parteiengesetz) zur Veröffentlichung von Zuwendungen gelten entsprechend.</w:t>
      </w:r>
    </w:p>
    <w:p>
      <w:r>
        <w:t xml:space="preserve">(3) Hat die Wählergruppe ein Vermögen von mehr als 50.000 Euro oder im Rechnungsjahr Einnahmen von mehr als 25.000 Euro, enthält der nach Absatz 2 zu erstellende Rechenschaftsbericht zusätzlich eine Vermögensbilanz sowie einen Erläuterungsteil. Die für Kaufleute geltenden handelsrechtlichen Vorschriften über die Rechnungslegung, insbesondere zu Ansatz und Bewertung von Vermögensgegenständen, sind entsprechend anzuwenden.</w:t>
      </w:r>
    </w:p>
    <w:p>
      <w:r>
        <w:t xml:space="preserve">(4) Der Rechenschaftsbericht soll im Vorstand der Wählergruppe beraten werden. Der Rechenschaftsbericht wird vom Vorsitzenden und einem für die Finanzangelegenheiten zuständigen Vorstandsmitglied unterzeichnet. Diese für die Finanzangelegenheiten zuständigen Vorstandsmitglieder versichern mit ihrer Unterschrift, dass die Angaben in ihrem Rechenschaftsbericht nach bestem Wissen und Gewissen wahrheitsgemäß gemacht worden sind.</w:t>
      </w:r>
    </w:p>
    <w:p>
      <w:r>
        <w:t xml:space="preserve">(5) Rechnungsunterlagen, Bücher, Bilanzen und Rechenschaftsberichte sind sechs Jahre aufzubewahren. Die Aufbewahrungsfrist beginnt mit Ablauf des Rechnungsjahres.</w:t>
      </w:r>
    </w:p>
    <w:p>
      <w:r>
        <w:rPr>
          <w:color w:val="555555"/>
          <w:sz w:val="17"/>
        </w:rPr>
        <w:t xml:space="preserve">Zitiervorschlag: § 2 WählGTranspG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https://recht.nulegal.eu/gesetze/W%C3%A4hlGTranspG/2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