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WählGTranspG (Nordrhein-Westfalen) — Anwendungsbereich</w:t>
      </w:r>
    </w:p>
    <w:p>
      <w:r>
        <w:rPr>
          <w:color w:val="555555"/>
          <w:sz w:val="18"/>
        </w:rPr>
        <w:t xml:space="preserve">Wählergruppentransparenzgesetz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Dieses Gesetz gilt für Wählergruppen im Sinne von § 15 Absatz 1 Satz 2 Kommunalwahlgesetz in der Fassung der Bekanntmachung vom 30. Juni 1998 (GV. NRW. S. 454, ber. S. 509 und 1999 S. 70) in der jeweils geltenden Fassung, die nicht dem Parteiengesetz unterliegen.</w:t>
      </w:r>
    </w:p>
    <w:p>
      <w:r>
        <w:rPr>
          <w:color w:val="555555"/>
          <w:sz w:val="17"/>
        </w:rPr>
        <w:t xml:space="preserve">Zitiervorschlag: § 1 WählGTranspG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https://recht.nulegal.eu/gesetze/W%C3%A4hlGTranspG/1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