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 VwZVG (Bayern) — Zustellung durch die Behörde gegen Empfangsbekenntnis; elektronische Zustellung</w:t>
      </w:r>
    </w:p>
    <w:p>
      <w:r>
        <w:rPr>
          <w:color w:val="555555"/>
          <w:sz w:val="18"/>
        </w:rPr>
        <w:t xml:space="preserve">Bayerisches Verwaltungszustellungs- und Vollstreckungsgesetz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Bei der Zustellung durch die Behörde händigt der zustellende Bedienstete das Dokument dem Empfänger in einem verschlossenen Umschlag aus. Das Dokument kann auch offen ausgehändigt werden, wenn keine schutzwürdigen Interessen des Empfängers entgegenstehen. Der Empfänger hat ein mit dem Datum der Aushändigung versehenes Empfangsbekenntnis zu unterschreiben. Der Bedienstete vermerkt das Datum der Zustellung auf dem Umschlag des auszuhändigenden Dokuments oder bei offener Aushändigung auf dem Dokument selbst.</w:t>
      </w:r>
    </w:p>
    <w:p>
      <w:r>
        <w:t xml:space="preserve">(2) Die §§ 177 bis 181 der Zivilprozessordnung sind anzuwenden. Zum Nachweis der Zustellung ist in den Akten zu vermerken:</w:t>
      </w:r>
    </w:p>
    <w:p>
      <w:r>
        <w:t xml:space="preserve">1. im Fall der Ersatzzustellung in der Wohnung, in Geschäftsräumen und Einrichtungen nach § 178 der Zivilprozessordnung der Grund, der diese Art der Zustellung rechtfertigt,</w:t>
      </w:r>
    </w:p>
    <w:p>
      <w:r>
        <w:t xml:space="preserve">2. im Fall der Zustellung bei verweigerter Annahme nach § 179 der Zivilprozessordnung, wer die Annahme verweigert hat und dass das Dokument am Ort der Zustellung zurückgelassen oder an den Absender zurückgesandt wurde sowie der Zeitpunkt und der Ort der verweigerten Annahme,</w:t>
      </w:r>
    </w:p>
    <w:p>
      <w:r>
        <w:t xml:space="preserve">3. in den Fällen der Ersatzzustellung nach §§ 180 und 181 der Zivilprozessordnung der Grund der Ersatzzustellung sowie wann und wo das Dokument in einen Briefkasten eingelegt oder sonst niedergelegt und in welcher Weise die Niederlegung schriftlich mitgeteilt wurde.</w:t>
      </w:r>
    </w:p>
    <w:p>
      <w:r>
        <w:t xml:space="preserve">Im Fall des § 181 Abs. 1 der Zivilprozessordnung kann das zuzustellende Dokument bei der Behörde, die den Zustellungsauftrag erteilt hat, niedergelegt werden, wenn diese Behörde ihren Sitz am Ort der Zustellung oder am Ort des Amtsgerichts hat, in dessen Bezirk der Ort der Zustellung liegt.</w:t>
      </w:r>
    </w:p>
    <w:p>
      <w:r>
        <w:t xml:space="preserve">(3) Zur Nachtzeit, an Sonntagen und gesetzlichen Feiertagen darf nach Abs. 1 und 2 im Inland nur mit schriftlicher oder elektronischer Erlaubnis des Behördenleiters oder seines Stellvertreters oder eines Beamten mit der Befähigung für das Richteramt zugestellt werden. Die Nachtzeit umfasst die Stunden von 21 bis 6 Uhr. Die Erlaubnis ist bei der Zustellung in Kopie mitzuteilen. Eine Zustellung, bei der diese Vorschriften nicht beachtet sind, ist wirksam, wenn die Annahme nicht verweigert wird.</w:t>
      </w:r>
    </w:p>
    <w:p>
      <w:r>
        <w:t xml:space="preserve">(4) Das Dokument kann an Behörden, Körperschaften, Anstalten und Stiftungen des öffentlichen Rechts, an Rechtsanwälte, Patentanwälte, Notare, Steuerberater, Steuerbevollmächtigte, Wirtschaftsprüfer, vereidigte Buchprüfer, Berufsausübungsgesellschaften im Sinne der Bundesrechtsanwaltsordnung, der Patentanwaltsordnung und des Steuerberatungsgesetzes, Wirtschaftsprüfungsgesellschaften und Buchprüfungsgesellschaften auch auf andere Weise, auch elektronisch, gegen Empfangsbekenntnis zugestellt werden.</w:t>
      </w:r>
    </w:p>
    <w:p>
      <w:r>
        <w:t xml:space="preserve">(5) Ein elektronisches Dokument kann im Übrigen unbeschadet des Abs. 4 elektronisch zugestellt werden, soweit der Empfänger hierfür einen Zugang eröffnet; es ist elektronisch zuzustellen, wenn auf Grund einer Rechtsvorschrift ein Verfahren auf Verlangen des Empfängers in elektronischer Form abgewickelt wird. Für die Übermittlung ist das Dokument mit einer qualifizierten elektronischen Signatur oder einem qualifizierten elektronischen Siegel zu versehen und gegen unbefugte Kenntnisnahme Dritter zu schützen.</w:t>
      </w:r>
    </w:p>
    <w:p>
      <w:r>
        <w:t xml:space="preserve">(6) Bei der elektronischen Zustellung ist die Übermittlung mit dem Hinweis „Zustellung gegen Empfangsbekenntnis“ einzuleiten. Die Übermittlung muss die absendende Behörde, den Namen und die Anschrift des Zustellungsadressaten sowie den Namen des Bediensteten erkennen lassen, der das Dokument zur Übermittlung aufgegeben hat.</w:t>
      </w:r>
    </w:p>
    <w:p>
      <w:r>
        <w:t xml:space="preserve">(7) Zum Nachweis der Zustellung nach Abs. 4 und 5 genügt das mit Datum und Unterschrift versehene Empfangsbekenntnis, das an die Behörde durch die Post oder elektronisch zurückzusenden ist. Ein elektronisches Dokument gilt in den Fällen des Abs. 5 Satz 1 Halbsatz 2 am vierten Tag nach der Absendung an den vom Empfänger hierfür eröffneten Zugang als zugestellt, wenn der Behörde nicht spätestens an diesem Tag ein Empfangsbekenntnis nach Satz 1 zugeht. Satz 2 gilt nicht, wenn der Empfänger nachweist, dass das Dokument nicht oder zu einem späteren Zeitpunkt zugegangen ist. Der Empfänger ist in den Fällen des Abs. 5 Satz 1 Halbsatz 2 vor der Übermittlung über die Rechtsfolgen nach den Sätzen 2 und 3 zu belehren. Zum Nachweis der Zustellung ist von der absendenden Behörde in den Akten zu vermerken, zu welchem Zeitpunkt und an welchen Zugang das Dokument gesendet wurde. Der Empfänger ist über den Eintritt der Zustellungsfiktion nach Satz 2 zu benachrichtigen.</w:t>
      </w:r>
    </w:p>
    <w:p>
      <w:r>
        <w:rPr>
          <w:color w:val="555555"/>
          <w:sz w:val="17"/>
        </w:rPr>
        <w:t xml:space="preserve">Zitiervorschlag: Art 5 VwZVG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https://recht.nulegal.eu/gesetze/VwZVG/5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