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VwZVG (Bayern) — Vollstreckung öffentlich-rechtlicher Geldforderungen nach § 350b Abs. 5 des Lastenausgleichsgesetzes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Öffentlich-rechtliche Geldforderungen des Bundes nach § 350b des Lastenausgleichsgesetzes werden nach den Bestimmungen dieses Gesetzes über die Vollstreckung von Geldforderungen des Staates beigetrieben. Dieses Gesetz tritt an die Stelle des Verwaltungs-Vollstreckungsgesetzes (VwVG).</w:t>
      </w:r>
    </w:p>
    <w:p>
      <w:r>
        <w:t xml:space="preserve">(2) Anordnungsbehörden sind die Regierungen.</w:t>
      </w:r>
    </w:p>
    <w:p>
      <w:r>
        <w:rPr>
          <w:color w:val="555555"/>
          <w:sz w:val="17"/>
        </w:rPr>
        <w:t xml:space="preserve">Zitiervorschlag: Art 43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