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42 VwZVG (Bayern) — Durchführungsvorschriften, Verordnungsermächtigung</w:t>
      </w:r>
    </w:p>
    <w:p>
      <w:r>
        <w:rPr>
          <w:color w:val="555555"/>
          <w:sz w:val="18"/>
        </w:rPr>
        <w:t xml:space="preserve">Bayerisches Verwaltungszustellungs- und Vollstreckungsgesetz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zur Durchführung dieses Gesetzes erforderlichen Rechtsvorschriften erläßt die Staatsregierung. Die Zuständigkeit des Staatsministeriums der Finanzen und für Heimat in kostenrechtlichen Angelegenheiten bleibt unberührt.</w:t>
      </w:r>
    </w:p>
    <w:p>
      <w:r>
        <w:rPr>
          <w:color w:val="555555"/>
          <w:sz w:val="17"/>
        </w:rPr>
        <w:t xml:space="preserve">Zitiervorschlag: Art 42 VwZVG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https://recht.nulegal.eu/gesetze/VwZVG/42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