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40 VwZVG (Bayern) — Einschränkung von Grundrechten</w:t>
      </w:r>
    </w:p>
    <w:p>
      <w:r>
        <w:rPr>
          <w:color w:val="555555"/>
          <w:sz w:val="18"/>
        </w:rPr>
        <w:t xml:space="preserve">Bayerisches Verwaltungszustellungs- und Vollstreckungsgesetz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diesem Hauptteil können das Recht auf körperliche Unversehrtheit, das Recht auf Freiheit der Person, das Recht auf Unverletzlichkeit der Wohnung und das Recht auf Eigentum eingeschränkt werden (Art. 2 Abs. 2 Sätze 1 und 2, Art. 13 und 14 des Grundgesetzes, Art. 102 Abs. 1, Art. 106 Abs. 3 und Art. 103 der Verfassung).</w:t>
      </w:r>
    </w:p>
    <w:p>
      <w:r>
        <w:rPr>
          <w:color w:val="555555"/>
          <w:sz w:val="17"/>
        </w:rPr>
        <w:t xml:space="preserve">Zitiervorschlag: Art 40 VwZVG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https://recht.nulegal.eu/gesetze/VwZVG/40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