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VwZVG (Bayern) — Rechtsbehelfe</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die Androhung des Zwangsmittels sind die förmlichen Rechtsbehelfe gegeben, die gegen den Verwaltungsakt zulässig sind, dessen Durchsetzung erzwungen werden soll. Ist die Androhung mit dem zugrundeliegenden Verwaltungsakt verbunden, so erstreckt sich der förmliche Rechtsbehelf zugleich auf den Verwaltungsakt, soweit er nicht bereits Gegenstand eines Rechtsbehelfs- oder gerichtlichen Verfahrens ist oder der Rechtsbehelf ausdrücklich auf die Androhung des Zwangsmittels beschränkt wird. Ist die Androhung nicht mit dem zugrundeliegenden Verwaltungsakt verbunden und ist dieser unanfechtbar geworden, so kann die Androhung nur insoweit angefochten werden, als eine Rechtsverletzung durch die Androhung selbst behauptet wird.</w:t>
      </w:r>
    </w:p>
    <w:p>
      <w:r>
        <w:t xml:space="preserve">(2) Wird ein Zwangsmittel nach Art. 35 ohne vorausgehende Androhung angewendet, so sind die förmlichen Rechtsbehelfe zulässig, die gegen Verwaltungsakte allgemein gegeben sind.</w:t>
      </w:r>
    </w:p>
    <w:p>
      <w:r>
        <w:t xml:space="preserve">(3) Förmliche Rechtsbehelfe gegen Maßnahmen der Vollstreckungsbehörde bei der Anwendung eines Zwangsmittels sind insoweit zulässig, als geltend gemacht werden kann, daß diese Maßnahmen eine selbständige Rechtsverletzung darstellen.</w:t>
      </w:r>
    </w:p>
    <w:p>
      <w:r>
        <w:rPr>
          <w:color w:val="555555"/>
          <w:sz w:val="17"/>
        </w:rPr>
        <w:t xml:space="preserve">Zitiervorschlag: Art 38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