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32 VwZVG (Bayern) — Ersatzvornahme</w:t>
      </w:r>
    </w:p>
    <w:p>
      <w:r>
        <w:rPr>
          <w:color w:val="555555"/>
          <w:sz w:val="18"/>
        </w:rPr>
        <w:t xml:space="preserve">Bayerisches Verwaltungszustellungs- und Vollstreckungsgesetz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Wird die Pflicht zu einer Handlung, die auch ein anderer vornehmen kann (vertretbare Handlung), nicht oder nicht vollständig oder nicht zur gehörigen Zeit erfüllt, so kann die Vollstreckungsbehörde die Handlung auf Kosten des Pflichtigen vornehmen lassen. Die Ersatzvornahme ist nur zulässig, wenn ein Zwangsgeld keinen Erfolg erwarten läßt.</w:t>
      </w:r>
    </w:p>
    <w:p>
      <w:r>
        <w:rPr>
          <w:color w:val="555555"/>
          <w:sz w:val="17"/>
        </w:rPr>
        <w:t xml:space="preserve">Zitiervorschlag: Art 32 VwZVG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https://recht.nulegal.eu/gesetze/VwZVG/32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