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VwZVG (Bayern) — Zuständigkeit</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Anordnungsbehörde vollstreckt ihre Verwaltungsakte innerhalb ihres Bereichs grundsätzlich selbst; sie vollstreckt auch die im Verwaltungsverfahren ergangenen Rechtsbehelfsentscheidungen. Die Abschiebung von Ausländern obliegt der Polizei; hierfür gelten die Vorschriften des Polizeiaufgabengesetzes. Abmeldungsbescheide der Zulassungsbehörden wegen nicht entrichteter Kraftfahrzeugsteuer vollstrecken die Finanzämter. Für das Verfahren der Finanzämter und die Kosten der Vollstreckung gelten die Vorschriften der Abgabenordnung und der zu ihrer Durchführung erlassenen Rechtsvorschriften entsprechend. Art. 35 bleibt unberührt.</w:t>
      </w:r>
    </w:p>
    <w:p>
      <w:r>
        <w:t xml:space="preserve">(2) Die Kreisverwaltungsbehörde, in deren Gebiet die Zwangsmittel angewendet werden müssen, ist auf Ersuchen einer anderen Anordnungsbehörde zur Durchführung des Verwaltungszwangs verpflichtet; sie ist dann Vollstreckungsbehörde. Vollstreckt ein Landratsamt als ersuchte Kreisverwaltungsbehörde, so ist die Vollstreckung eine staatliche Aufgabe. Ist die ersuchte Kreisverwaltungsbehörde eine kreisfreie Gemeinde, so ist die Durchführung des Ersuchens eine übertragene Aufgabe. Ist die ersuchende Stelle die Rechtsaufsichtsbehörde der ersuchten Gemeinde oder ist sie hinsichtlich des zu vollstreckenden Verwaltungsakts ihre Fachaufsichtsbehörde, so ist sie zu Weisungen über die Wahl und die Anwendung des Zwangsmittels befugt, wenn dies zur Erreichung des mit der Vollstreckung angestrebten Erfolgs erforderlich ist.</w:t>
      </w:r>
    </w:p>
    <w:p>
      <w:r>
        <w:t xml:space="preserve">(3) Zweckverbände und Verwaltungsgemeinschaften vollstrecken ihre Verwaltungsakte selbst oder lassen sie durch die Kreisverwaltungsbehörde nach Absatz 2 vollstrecken. Im übrigen können juristische Personen des öffentlichen Rechts, die nicht Gebietskörperschaften sind, ihre Verwaltungsakte nur durch die Kreisverwaltungsbehörde nach Absatz 2 vollstrecken lassen, wenn sie nicht durch besonderes Gesetz oder auf Grund eines besonderen Gesetzes selbst zur Anwendung von Verwaltungszwang ermächtigt sind. Zur Androhung von Zwangsmitteln sind sie jedoch stets befugt.</w:t>
      </w:r>
    </w:p>
    <w:p>
      <w:r>
        <w:rPr>
          <w:color w:val="555555"/>
          <w:sz w:val="17"/>
        </w:rPr>
        <w:t xml:space="preserve">Zitiervorschlag: Art 30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