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VwZVG (Bayern) — Zulässigkeit des Verwaltungszwangs; Zwangsmittel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Verwaltungsakte, mit denen die Herausgabe einer Sache, die Vornahme einer sonstigen Handlung oder eine Duldung oder eine Unterlassung gefordert wird, können nach den Vorschriften dieses Abschnitts mit Zwangsmitteln vollstreckt werden (Verwaltungszwang).</w:t>
      </w:r>
    </w:p>
    <w:p>
      <w:r>
        <w:t xml:space="preserve">(2) Zwangsmittel sind</w:t>
      </w:r>
    </w:p>
    <w:p>
      <w:r>
        <w:t xml:space="preserve">1. das Zwangsgeld (Art. 31),</w:t>
      </w:r>
    </w:p>
    <w:p>
      <w:r>
        <w:t xml:space="preserve">2. die Ersatzvornahme (Art. 32),</w:t>
      </w:r>
    </w:p>
    <w:p>
      <w:r>
        <w:t xml:space="preserve">3. die Ersatzzwangshaft (Art. 33),</w:t>
      </w:r>
    </w:p>
    <w:p>
      <w:r>
        <w:t xml:space="preserve">4. der unmittelbare Zwang (Art. 34).</w:t>
      </w:r>
    </w:p>
    <w:p>
      <w:r>
        <w:t xml:space="preserve">(3) Das Zwangsmittel muß in angemessenem Verhältnis zu seinem Zweck stehen. Dabei ist das Zwangsmittel möglichst so zu bestimmen, daß der Betroffene und die Allgemeinheit am wenigsten beeinträchtigt werden.</w:t>
      </w:r>
    </w:p>
    <w:p>
      <w:r>
        <w:t xml:space="preserve">(4) Gegen Behörden und juristische Personen des öffentlichen Rechts ist Verwaltungszwang nur zulässig, soweit er durch Gesetz oder auf Grund eines Gesetzes besonders zugelassen ist.</w:t>
      </w:r>
    </w:p>
    <w:p>
      <w:r>
        <w:rPr>
          <w:color w:val="555555"/>
          <w:sz w:val="17"/>
        </w:rPr>
        <w:t xml:space="preserve">Zitiervorschlag: Art 29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