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VwZVG (Bayern) — Vollstreckung von Geldforderungen sonstiger juristischer Personen des öffentlichen Rechts</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Vollstreckung von Geldforderungen sonstiger juristischer Personen des öffentlichen Rechts gilt Art. 26 entsprechend, soweit sie Verwaltungsakte erlassen können und zur Anbringung der Vollstreckungsklausel befugt sind. Zur Abnahme der Vermögensauskunft, zur Hinterlegung der Vermögensverzeichnisse und zur Anordnung der Eintragung in das Schuldnerverzeichnis sowie zur Pfändung und Einziehung von Geldforderungen sind diese juristischen Personen jedoch nicht befugt.</w:t>
      </w:r>
    </w:p>
    <w:p>
      <w:r>
        <w:t xml:space="preserve">(2) Soweit die juristische Person des öffentlichen Rechts ihre Geldforderungen durch Verwaltungsakt geltend machen darf, kann die Staatsregierung durch Rechtsverordnung die Befugnis zur Anbringung der Vollstreckungsklausel und abweichend von Abs. 1 Satz 2 auch die Befugnis zur Pfändung und Einziehung von Geldforderungen erteilen, wenn bei der juristischen Person des öffentlichen Rechts gewährleistet ist, daß die Vollstreckungsverfahren ordnungsgemäß durchgeführt werden. Art. 91 Abs. 4 der Gemeindeordnung, Art. 79 Abs. 4 der Landkreisordnung und Art. 77 Abs. 4 der Bezirksordnung bleiben unberührt.</w:t>
      </w:r>
    </w:p>
    <w:p>
      <w:r>
        <w:rPr>
          <w:color w:val="555555"/>
          <w:sz w:val="17"/>
        </w:rPr>
        <w:t xml:space="preserve">Zitiervorschlag: Art 27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