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VwZVG (Bayern) — Vollstreckung von Geldforderungen der Gemeinden, Landkreise, Bezirke und Zweckverbände</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Bezirke und Zweckverbände sind berechtigt, zur Beitreibung von Geldforderungen, die sie durch einen Leistungsbescheid geltend machen, eine Vollstreckungsanordnung zu erteilen.</w:t>
      </w:r>
    </w:p>
    <w:p>
      <w:r>
        <w:t xml:space="preserve">(2) Für die Vollstreckung sind die ordentlichen Gerichte zuständig. Die Gemeinden, Landkreise, Bezirke und Zweckverbände sind auch befugt, vom Schuldner die Abgabe einer Vermögensauskunft gegenüber dem Gerichtsvollzieher zu verlangen und die von den zentralen Vollstreckungsgerichten verwalteten Vermögensverzeichnisse abzurufen.</w:t>
      </w:r>
    </w:p>
    <w:p>
      <w:r>
        <w:t xml:space="preserve">(2a) Die Großen Kreisstädte, kreisfreien Städte, Landkreise und Bezirke können auch selbst vom Schuldner, der innerhalb ihres Gebiets seinen gewöhnlichen Aufenthalt oder Sitz hat, die Vermögensauskunft abnehmen, sie haben die erstellten Vermögensverzeichnisse bei dem zentralen Vollstreckungsgericht zu hinterlegen und können die Eintragung in das bei dem zentralen Vollstreckungsgericht geführte Schuldnerverzeichnis anordnen. Zur Abnahme der Vermögensauskunft nach Pfändungsversuch (§ 807 der Zivilprozessordnung) sind sie nicht befugt. Bleibt der Schuldner dem Termin zur Abgabe der Vermögensauskunft unentschuldigt fern oder verweigert er die Abgabe der Vermögensauskunft ohne Grund, kann zur Erzwingung der Abgabe ein Haftbefehl bei den ordentlichen Gerichten beantragt werden. Die Verhaftung des Schuldners und eine Abnahme der Vermögensauskunft nach der Verhaftung bleiben dem Gerichtsvollzieher vorbehalten.</w:t>
      </w:r>
    </w:p>
    <w:p>
      <w:r>
        <w:t xml:space="preserve">(3) Die Pfändung und Verwertung beweglicher Sachen können die Gemeinden, Landkreise, Bezirke und Zweckverbände durch Gerichtsvollzieher oder innerhalb ihres Gebiets durch eigene Vollstreckungsbedienstete bewirken lassen.</w:t>
      </w:r>
    </w:p>
    <w:p>
      <w:r>
        <w:t xml:space="preserve">(4) Schon vor der Pfändung einer Geldforderung können die Gemeinden, Landkreise, Bezirke und Zweckverbände dem Drittschuldner verbieten, vor der Entscheidung des Vollstreckungsgerichts an den Schuldner zu zahlen, und dem Schuldner gebieten, sich vor dieser Entscheidung jeder Verfügung über die Forderung zu enthalten. Diese Anordnungen verlieren ihre Wirkung, wenn die Pfändung der Forderung nicht innerhalb von drei Wochen bewirkt wird. Die Frist beginnt mit dem Tag, an dem das Zahlungsverbot dem Drittschuldner zugestellt wird.</w:t>
      </w:r>
    </w:p>
    <w:p>
      <w:r>
        <w:t xml:space="preserve">(5) Gemeinden, Landkreise, Bezirke und Zweckverbände können Geldforderungen und andere Vermögensrechte, die nicht Gegenstand der Zwangsvollstreckung in das unbewegliche Vermögen sind, selbst pfänden und einziehen, wenn Schuldner und der Drittschuldner ihren gewöhnlichen Aufenthalt oder Sitz in Bayern haben. Dies gilt auch, wenn Schuldner oder der Drittschuldner oder beide ihren gewöhnlichen Aufenthalt oder Sitz in einem anderen Land haben, sofern das dort geltende Landesrecht dies zuläßt. Kommunale Vollstreckungsbehörden, die ihren Sitz in einem anderen Land haben, können Geldforderungen und andere Vermögensrechte, die nicht Gegenstand der Zwangsvollstreckung in das unbewegliche Vermögen sind, auch dann selbst pfänden und einziehen, wenn der Schuldner oder der Drittschuldner oder beide ihren gewöhnlichen Aufenthalt oder Sitz in Bayern haben.</w:t>
      </w:r>
    </w:p>
    <w:p>
      <w:r>
        <w:t xml:space="preserve">(6) Für die Bezirke üben die Regierungen die Befugnisse nach Abs. 2a, 3, 4 und 5 aus, soweit diese Aufgaben nach Art. 35b der Bezirksordnung auf den Freistaat Bayern übertragen sind.</w:t>
      </w:r>
    </w:p>
    <w:p>
      <w:r>
        <w:t xml:space="preserve">(7) Die Vorschriften des Achten Buchs der Zivilprozessordnung über die Zwangsvollstreckung mit Ausnahme der §§ 883 bis 898 und der §§ 946 bis 959 sind entsprechend anzuwenden; für Vollstreckungsaufträge an den Gerichtsvollzieher ist die Verwendung der in der Zwangsvollstreckungsformular-Verordnung eingeführten Formulare nicht verbindlich. Nach der Zivilprozessordnung regelt sich auch die Entscheidung über Rechtsbehelfe gegen Maßnahmen der Vollstreckungsgerichte und Gerichtsvollzieher. Rechtsbehelfe gegen Vollstreckungsmaßnahmen der Gemeinden, Landkreise, Bezirke und Zweckverbände sowie der für die Bezirke handelnden Regierungen (Abs. 6) unterliegen der verwaltungsgerichtlichen Entscheidung.</w:t>
      </w:r>
    </w:p>
    <w:p>
      <w:r>
        <w:rPr>
          <w:color w:val="555555"/>
          <w:sz w:val="17"/>
        </w:rPr>
        <w:t xml:space="preserve">Zitiervorschlag: Art 26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