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VwZVG (Bayern) — Vollstreckungsanordnung</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Anordnungsbehörde oder die für sie zuständige Kasse oder Zahlstelle ordnet die Vollstreckung dadurch an, daß sie</w:t>
      </w:r>
    </w:p>
    <w:p>
      <w:r>
        <w:t xml:space="preserve">1. in den Fällen des Art. 25 das Finanzamt oder die nach dem Recht eines anderen Landes der Bundesrepublik Deutschland oder die nach einer völkerrechtlichen Vereinbarung zuständige Stelle um Beitreibung ersucht und auf das Beitreibungsersuchen die Erklärung setzt, daß der beizutreibende Anspruch vollstreckbar ist;</w:t>
      </w:r>
    </w:p>
    <w:p>
      <w:r>
        <w:t xml:space="preserve">2. in den Fällen der Art. 26 und 27 auf eine Ausfertigung des Leistungsbescheids oder eines Ausstandsverzeichnisses die Klausel setzt: „Diese Ausfertigung ist vollstreckbar“; einer Zustellung dieser Ausfertigung an den Vollstreckungsschuldner bedarf es nicht, wenn es sich bei diesem um den Leistungspflichtigen im Sinn des Art. 23 Abs. 1 handelt.</w:t>
      </w:r>
    </w:p>
    <w:p>
      <w:r>
        <w:t xml:space="preserve">(2) Mit der Vollstreckungsanordnung übernimmt die Anordnungsbehörde oder die für sie zuständige Kasse oder Zahlstelle die Verantwortung dafür, daß die in den Art. 19 und 23 bezeichneten Voraussetzungen der Zwangsvollstreckung gegeben sind.</w:t>
      </w:r>
    </w:p>
    <w:p>
      <w:r>
        <w:t xml:space="preserve">(3) Bei einer Vollstreckungsanordnung, die mit Hilfe automatischer Einrichtungen erlassen wird, können Unterschrift und Dienstsiegel fehlen.</w:t>
      </w:r>
    </w:p>
    <w:p>
      <w:r>
        <w:rPr>
          <w:color w:val="555555"/>
          <w:sz w:val="17"/>
        </w:rPr>
        <w:t xml:space="preserve">Zitiervorschlag: Art 24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