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23 VwZVG (Bayern) — Besondere Voraussetzungen der Vollstreckung</w:t>
      </w:r>
    </w:p>
    <w:p>
      <w:r>
        <w:rPr>
          <w:color w:val="555555"/>
          <w:sz w:val="18"/>
        </w:rPr>
        <w:t xml:space="preserve">Bayerisches Verwaltungszustellungs- und Vollstreckungsgesetz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Ein Verwaltungsakt, mit dem eine öffentlich-rechtliche Geldleistung gefordert wird (Leistungsbescheid), kann vollstreckt werden, wenn</w:t>
      </w:r>
    </w:p>
    <w:p>
      <w:r>
        <w:t xml:space="preserve">1. er dem Leistungspflichtigen zugestellt ist,</w:t>
      </w:r>
    </w:p>
    <w:p>
      <w:r>
        <w:t xml:space="preserve">2. die Forderung fällig ist und</w:t>
      </w:r>
    </w:p>
    <w:p>
      <w:r>
        <w:t xml:space="preserve">3. der Leistungspflichtige von der Anordnungsbehörde oder von der für sie zuständigen Kasse oder Zahlstelle nach Eintritt der Fälligkeit durch verschlossenen Brief, durch Nachnahme oder durch ortsübliche öffentliche Bekanntmachung ergebnislos aufgefordert worden ist, innerhalb einer bestimmten Frist von mindestens einer Woche zu leisten (Mahnung).</w:t>
      </w:r>
    </w:p>
    <w:p>
      <w:r>
        <w:t xml:space="preserve">(2) Bei Verwaltungsakten, die bei der Festsetzung und Erhebung von Realsteuern ergehen, genügt an Stelle der Zustellung die Zusendung gemäß Art. 17.</w:t>
      </w:r>
    </w:p>
    <w:p>
      <w:r>
        <w:t xml:space="preserve">(3) Die Mahnung kann unterbleiben, wenn die sofortige Vollstreckung im überwiegenden öffentlichen Interesse liegt oder wenn die Mahnung den Vollstreckungserfolg gefährden würde.</w:t>
      </w:r>
    </w:p>
    <w:p>
      <w:r>
        <w:rPr>
          <w:color w:val="555555"/>
          <w:sz w:val="17"/>
        </w:rPr>
        <w:t xml:space="preserve">Zitiervorschlag: Art 23 VwZVG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https://recht.nulegal.eu/gesetze/VwZVG/23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