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VwZVG (Bayern) — Einstellung der Vollstreckung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Vollstreckungsmaßnahmen sind einzustellen, wenn und soweit</w:t>
      </w:r>
    </w:p>
    <w:p>
      <w:r>
        <w:t xml:space="preserve">1. sie für unzulässig erklärt werden oder</w:t>
      </w:r>
    </w:p>
    <w:p>
      <w:r>
        <w:t xml:space="preserve">2. der zu vollstreckende Verwaltungsakt rechtskräftig aufgehoben wird oder</w:t>
      </w:r>
    </w:p>
    <w:p>
      <w:r>
        <w:t xml:space="preserve">3. die Verpflichtung offensichtlich erloschen ist oder</w:t>
      </w:r>
    </w:p>
    <w:p>
      <w:r>
        <w:t xml:space="preserve">4. die Anordnungsbehörde aus sonstigen Gründen um die Einstellung ersucht.</w:t>
      </w:r>
    </w:p>
    <w:p>
      <w:r>
        <w:rPr>
          <w:color w:val="555555"/>
          <w:sz w:val="17"/>
        </w:rPr>
        <w:t xml:space="preserve">Zitiervorschlag: Art 22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