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VwZVG (Bayern) — Begriffsbestimmungen</w:t>
      </w:r>
    </w:p>
    <w:p>
      <w:r>
        <w:rPr>
          <w:color w:val="555555"/>
          <w:sz w:val="18"/>
        </w:rPr>
        <w:t xml:space="preserve">Bayerisches Verwaltungszustellungs- und Vollstreckungsgesetz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Sinn dieses Gesetzes ist</w:t>
      </w:r>
    </w:p>
    <w:p>
      <w:r>
        <w:t xml:space="preserve">1. Anordnungsbehörde die Behörde, die den zu vollstreckenden Verwaltungsakt erlassen hat,</w:t>
      </w:r>
    </w:p>
    <w:p>
      <w:r>
        <w:t xml:space="preserve">2. Vollstreckungsbehörde die Behörde, die zur Vollstreckung eines Verwaltungsakts zuständig ist,</w:t>
      </w:r>
    </w:p>
    <w:p>
      <w:r>
        <w:t xml:space="preserve">3. Vollstreckungsgericht das um die Vollstreckung ersuchte Amtsgericht.</w:t>
      </w:r>
    </w:p>
    <w:p>
      <w:r>
        <w:rPr>
          <w:color w:val="555555"/>
          <w:sz w:val="17"/>
        </w:rPr>
        <w:t xml:space="preserve">Zitiervorschlag: Art 20 VwZVG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https://recht.nulegal.eu/gesetze/VwZVG/20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