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VwZVG (Bayern) — Allgemeines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Zustellung ist die Bekanntgabe eines schriftlichen oder elektronischen Dokuments in der in diesem Gesetz bestimmten Form.</w:t>
      </w:r>
    </w:p>
    <w:p>
      <w:r>
        <w:t xml:space="preserve">(2) Die Zustellung wird durch einen Erbringer von Postdienstleistungen (Post), einen nach § 17 des De-Mail-Gesetzes akkreditierten Diensteanbieter oder durch die Behörde ausgeführt. Daneben gelten die in den Art. 14, 15 und 17 geregelten Sonderarten der Zustellung.</w:t>
      </w:r>
    </w:p>
    <w:p>
      <w:r>
        <w:t xml:space="preserve">(3) Die Behörde hat die Wahl zwischen den einzelnen Zustellungsarten. Art. 5 Abs. 5 Satz 1 Halbsatz 2 bleibt unberührt.</w:t>
      </w:r>
    </w:p>
    <w:p>
      <w:r>
        <w:rPr>
          <w:color w:val="555555"/>
          <w:sz w:val="17"/>
        </w:rPr>
        <w:t xml:space="preserve">Zitiervorschlag: Art 2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