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19 VwZVG (Bayern) — Voraussetzungen der Vollstreckung</w:t>
      </w:r>
    </w:p>
    <w:p>
      <w:r>
        <w:rPr>
          <w:color w:val="555555"/>
          <w:sz w:val="18"/>
        </w:rPr>
        <w:t xml:space="preserve">Bayerisches Verwaltungszustellungs- und Vollstreckungsgesetz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Verwaltungsakte können vollstreckt werden,</w:t>
      </w:r>
    </w:p>
    <w:p>
      <w:r>
        <w:t xml:space="preserve">1. wenn sie nicht mehr mit einem förmlichen Rechtsbehelf angefochten werden können oder</w:t>
      </w:r>
    </w:p>
    <w:p>
      <w:r>
        <w:t xml:space="preserve">2. wenn der förmliche Rechtsbehelf keine aufschiebende Wirkung hat oder</w:t>
      </w:r>
    </w:p>
    <w:p>
      <w:r>
        <w:t xml:space="preserve">3. wenn die sofortige Vollziehung angeordnet ist.</w:t>
      </w:r>
    </w:p>
    <w:p>
      <w:r>
        <w:t xml:space="preserve">(2) Die Vollstreckung setzt voraus, daß der zur Zahlung von Geld oder zu einer sonstigen Handlung, einer Duldung oder einer Unterlassung Verpflichtete (Vollstreckungsschuldner) seine Verpflichtung nicht rechtzeitig erfüllt.</w:t>
      </w:r>
    </w:p>
    <w:p>
      <w:r>
        <w:rPr>
          <w:color w:val="555555"/>
          <w:sz w:val="17"/>
        </w:rPr>
        <w:t xml:space="preserve">Zitiervorschlag: Art 19 VwZVG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https://recht.nulegal.eu/gesetze/VwZVG/19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