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VwZVG (Bayern) — Zustellungen im Besteuerungsverfahren und bei der Heranziehung zu sonstigen öffentlichen Abgaben und Umlagen</w:t>
      </w:r>
    </w:p>
    <w:p>
      <w:r>
        <w:rPr>
          <w:color w:val="555555"/>
          <w:sz w:val="18"/>
        </w:rPr>
        <w:t xml:space="preserve">Bayerisches Verwaltungszustellungs- und Vollstreckungsgesetz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Zustellung von schriftlichen Bescheiden, die im Besteuerungsverfahren und bei der Heranziehung zu sonstigen öffentlichen Abgaben und Umlagen ergehen, kann dadurch ersetzt werden, daß der Bescheid dem Empfänger durch einfachen Brief verschlossen zugesandt wird.</w:t>
      </w:r>
    </w:p>
    <w:p>
      <w:r>
        <w:t xml:space="preserve">(2) Bei Zusendung durch einfachen Brief gilt die Bekanntgabe mit dem vierten Tag nach der Aufgabe zur Post als bewirkt, es sei denn, daß das zuzusendende Schriftstück nicht oder zu einem späteren Zeitpunkt zugegangen ist. Im Zweifel hat die Behörde den Zugang des Schriftstücks und den Zeitpunkt des Zugangs nachzuweisen.</w:t>
      </w:r>
    </w:p>
    <w:p>
      <w:r>
        <w:t xml:space="preserve">(3) Die Aufgabe geschieht durch Einwerfen in einen Postbriefkasten oder Einlieferung bei der Post. Bei Einwurf in einen Straßenbriefkasten gilt der Tag der auf den Einwurf folgenden Leerung als Tag der Aufgabe zur Post.</w:t>
      </w:r>
    </w:p>
    <w:p>
      <w:r>
        <w:t xml:space="preserve">(4) Auf der bei den Akten verbleibenden Urschrift ist der Tag der Aufgabe zur Post zu vermerken; des Namenszeichens des damit beauftragten Bediensteten bedarf es nicht. Bei der Zustellung maschinell erstellter Bescheide können an Stelle des Vermerks die Bescheide numeriert und die Absendung in einer Sammelliste eingetragen werden.</w:t>
      </w:r>
    </w:p>
    <w:p>
      <w:r>
        <w:rPr>
          <w:color w:val="555555"/>
          <w:sz w:val="17"/>
        </w:rPr>
        <w:t xml:space="preserve">Zitiervorschlag: Art 17 VwZVG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https://recht.nulegal.eu/gesetze/VwZVG/17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