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VwZG 2005 — Allgemeines</w:t>
      </w:r>
    </w:p>
    <w:p>
      <w:r>
        <w:rPr>
          <w:color w:val="555555"/>
          <w:sz w:val="18"/>
        </w:rPr>
        <w:t xml:space="preserve">Verwaltungszustellungsgesetz</w:t>
      </w:r>
    </w:p>
    <w:p>
      <w:r>
        <w:rPr>
          <w:color w:val="555555"/>
          <w:sz w:val="18"/>
        </w:rPr>
        <w:t xml:space="preserve">Stand: 11.07.2026 (konsolidierte Textfassung, kein amtliches Inkrafttretensdatum)</w:t>
      </w:r>
    </w:p>
    <w:p>
      <w:r>
        <w:t xml:space="preserve">(1) Zustellung ist die Bekanntgabe eines schriftlichen oder elektronischen Dokuments in der in diesem Gesetz bestimmten Form.</w:t>
      </w:r>
    </w:p>
    <w:p>
      <w:r>
        <w:t xml:space="preserve">(2) Die Zustellung wird durch einen Erbringer von Postdienstleistungen (Post), oder durch die Behörde ausgeführt. Daneben gelten die in den §§ 9 und 10 geregelten Sonderarten der Zustellung.</w:t>
      </w:r>
    </w:p>
    <w:p>
      <w:r>
        <w:t xml:space="preserve">(3) Die Behörde hat die Wahl zwischen den einzelnen Zustellungsarten. § 5 Absatz 5 Satz 2 bleibt unberührt.</w:t>
      </w:r>
    </w:p>
    <w:p>
      <w:r>
        <w:rPr>
          <w:color w:val="555555"/>
          <w:sz w:val="17"/>
        </w:rPr>
        <w:t xml:space="preserve">Zitiervorschlag: § 2 VwZG 2005</w:t>
      </w:r>
    </w:p>
    <w:p>
      <w:r>
        <w:rPr>
          <w:color w:val="555555"/>
          <w:sz w:val="17"/>
        </w:rPr>
        <w:t xml:space="preserve">Quelle: Bundesamt für Justiz, abgerufen 11.07.2026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https://recht.nulegal.eu/gesetze/VwZG%202005/2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