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VwVfG — Überleitung von Verfahren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Bereits begonnene Verfahren sind nach den Vorschriften dieses Gesetzes zu Ende zu führen.</w:t>
      </w:r>
    </w:p>
    <w:p>
      <w:r>
        <w:t xml:space="preserve">(2) Die Zulässigkeit eines Rechtsbehelfs gegen die vor Inkrafttreten dieses Gesetzes ergangenen Entscheidungen richtet sich nach den bisher geltenden Vorschriften.</w:t>
      </w:r>
    </w:p>
    <w:p>
      <w:r>
        <w:t xml:space="preserve">(3) Fristen, deren Lauf vor Inkrafttreten dieses Gesetzes begonnen hat, werden nach den bisher geltenden Rechtsvorschriften berechnet.</w:t>
      </w:r>
    </w:p>
    <w:p>
      <w:r>
        <w:t xml:space="preserve">(4) Für die Erstattung von Kosten im Vorverfahren gelten die Vorschriften dieses Gesetzes, wenn das Vorverfahren vor Inkrafttreten dieses Gesetzes noch nicht abgeschlossen worden ist.</w:t>
      </w:r>
    </w:p>
    <w:p>
      <w:r>
        <w:rPr>
          <w:color w:val="555555"/>
          <w:sz w:val="17"/>
        </w:rPr>
        <w:t xml:space="preserve">Zitiervorschlag: § 96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