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88 VwVfG — Anwendung der Vorschriften über Ausschüsse</w:t>
      </w:r>
    </w:p>
    <w:p>
      <w:r>
        <w:rPr>
          <w:color w:val="555555"/>
          <w:sz w:val="18"/>
        </w:rPr>
        <w:t xml:space="preserve">Verwaltungsverfahrensgesetz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Ausschüsse, Beiräte und andere kollegiale Einrichtungen (Ausschüsse) gelten, wenn sie in einem Verwaltungsverfahren tätig werden, die §§ 89 bis 93, soweit Rechtsvorschriften nichts Abweichendes bestimmen.</w:t>
      </w:r>
    </w:p>
    <w:p>
      <w:r>
        <w:rPr>
          <w:color w:val="555555"/>
          <w:sz w:val="17"/>
        </w:rPr>
        <w:t xml:space="preserve">Zitiervorschlag: § 88 VwVfG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https://recht.nulegal.eu/gesetze/VwVfG/88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