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VwVfG — Ordnungswidrigkeiten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eine ehrenamtliche Tätigkeit nicht übernimmt, obwohl er zur Übernahme verpflichtet ist,</w:t>
      </w:r>
    </w:p>
    <w:p>
      <w:pPr>
        <w:ind w:left="420"/>
      </w:pPr>
      <w:r>
        <w:t xml:space="preserve">2. eine ehrenamtliche Tätigkeit, zu deren Übernahme er verpflichtet war, ohne anerkennenswerten Grund niederlegt.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87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