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74b VwVfG — Entfallen von Planfeststellung und Plangenehmigung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Planfeststellung und Plangenehmigung entfallen in Fällen von unwesentlicher Bedeutung. Diese liegen vor, wenn</w:t>
      </w:r>
    </w:p>
    <w:p>
      <w:pPr>
        <w:ind w:left="420"/>
      </w:pPr>
      <w:r>
        <w:t xml:space="preserve">1. andere öffentliche Belange nicht berührt sind oder die erforderlichen behördlichen Entscheidungen vorliegen und sie dem Plan nicht entgegenstehen,</w:t>
      </w:r>
    </w:p>
    <w:p>
      <w:pPr>
        <w:ind w:left="420"/>
      </w:pPr>
      <w:r>
        <w:t xml:space="preserve">2. Rechte anderer nicht beeinflusst werden oder mit den vom Plan Betroffenen entsprechende Vereinbarungen getroffen worden sind und</w:t>
      </w:r>
    </w:p>
    <w:p>
      <w:pPr>
        <w:ind w:left="420"/>
      </w:pPr>
      <w:r>
        <w:t xml:space="preserve">3. nicht andere Rechtsvorschriften eine Öffentlichkeitsbeteiligung vorschreiben, die den Anforderungen des § 73 Absatz 1 Satz 1 und 2, Absatz 2 und 3 und des § 73b entsprechen muss.</w:t>
      </w:r>
    </w:p>
    <w:p>
      <w:r>
        <w:rPr>
          <w:color w:val="555555"/>
          <w:sz w:val="17"/>
        </w:rPr>
        <w:t xml:space="preserve">Zitiervorschlag: § 74b VwVfG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https://recht.nulegal.eu/gesetze/VwVfG/74b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