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74 VwVfG — Planfeststellungsbeschluss</w:t>
      </w:r>
    </w:p>
    <w:p>
      <w:r>
        <w:rPr>
          <w:color w:val="555555"/>
          <w:sz w:val="18"/>
        </w:rPr>
        <w:t xml:space="preserve">Verwaltungsverfahrensgesetz</w:t>
      </w:r>
    </w:p>
    <w:p>
      <w:r>
        <w:rPr>
          <w:color w:val="555555"/>
          <w:sz w:val="18"/>
        </w:rPr>
        <w:t xml:space="preserve">Stand: 29.07.2026 (konsolidierte Textfassung, kein amtliches Inkrafttretensdatum)</w:t>
      </w:r>
    </w:p>
    <w:p>
      <w:r>
        <w:t xml:space="preserve">(1) Die Planfeststellungsbehörde stellt den Plan fest (Planfeststellungsbeschluss). Maßgeblich ist auf entsprechendes Verlangen des Trägers des Vorhabens die Sach- und Rechtslage zum Zeitpunkt des Schlusses der Erörterung nach § 73b Absatz 1 oder falls eine Erörterung nicht stattfindet, der Zeitpunkt sechs Monate nach Ablauf der Einwendungsfrist, soweit durch Rechtsvorschrift nicht etwas anderes bestimmt ist. Dies gilt nicht, wenn der Stichtag nach Satz 2 länger als zwölf Monate zurückliegt oder die Planung nach § 73c geändert wurde. Die Vorschriften über die Entscheidung und die Anfechtung der Entscheidung im förmlichen Verwaltungsverfahren (§ 69 Absatz 1 und § 70) sind anzuwenden. Der Planfeststellungsbeschluss soll in elektronischer Form ergehen; § 69 Absatz 2 Satz 2 gilt entsprechend.</w:t>
      </w:r>
    </w:p>
    <w:p>
      <w:r>
        <w:t xml:space="preserve">(2) Im Planfeststellungsbeschluss entscheidet die Planfeststellungsbehörde über die Einwendungen und Stellungnahmen, über die keine Einigung erzielt worden ist; nicht beachtliche Belange können zusammenfassend dargestellt werden. Sie hat dem Träger des Vorhabens Vorkehrungen oder die Errichtung und Unterhaltung von Anlagen aufzuerlegen, die zum Wohl der Allgemeinheit oder zur Vermeidung nachteiliger Wirkungen auf Rechte anderer erforderlich sind. Sind solche Vorkehrungen oder Anlagen untunlich oder mit dem Vorhaben unvereinbar, so hat der Betroffene Anspruch auf angemessene Entschädigung in Geld.</w:t>
      </w:r>
    </w:p>
    <w:p>
      <w:r>
        <w:t xml:space="preserve">(3) Soweit eine abschließende Entscheidung noch nicht möglich ist, ist diese im Planfeststellungsbeschluss vorzubehalten; dem Träger des Vorhabens ist dabei aufzugeben, noch fehlende oder von der Planfeststellungsbehörde bestimmte Unterlagen rechtzeitig vorzulegen.</w:t>
      </w:r>
    </w:p>
    <w:p>
      <w:r>
        <w:t xml:space="preserve">(4) Die Planfeststellungsbehörde legt den Beschluss mit einer Rechtsbehelfsbelehrung und dem festgestellten Plan für zwei Wochen zur Einsicht aus. Auf Verlangen eines Betroffenen, das bis zum Ablauf der Rechtsbehelfsfrist an die Planfeststellungsbehörde zu richten ist, wird diesem eine andere, leicht zu erreichende Zugangsmöglichkeit zur Verfügung gestellt. Mit dem Ende der Auslegungsfrist gilt der Beschluss dem Träger des Vorhabens, den Betroffenen, den Vereinigungen nach § 73 Absatz 2 Satz 1 Nummer 2 und denjenigen, die Einwendungen erhoben oder Stellungnahmen abgegeben haben, als zugestellt. Der Planfeststellungsbeschluss kann dem Träger des Vorhabens, denjenigen, über deren Einwendungen entschieden worden ist, und den Vereinigungen, über deren Stellungnahmen entschieden worden ist, auch zugestellt werden.</w:t>
      </w:r>
    </w:p>
    <w:p>
      <w:r>
        <w:t xml:space="preserve">(5) Die Planfeststellungsbehörde macht die Auslegung des festgestellten Plans vorher öffentlich bekannt. In der Bekanntmachung weist sie darauf hin, dass</w:t>
      </w:r>
    </w:p>
    <w:p>
      <w:pPr>
        <w:ind w:left="420"/>
      </w:pPr>
      <w:r>
        <w:t xml:space="preserve">1. auf Verlangen eines Betroffenen, das bis zum Ablauf der Rechtsbehelfsfrist an die Planfeststellungsbehörde zu richten ist, ihm eine andere, leicht zu erreichende Zugangsmöglichkeit zur Verfügung gestellt wird und</w:t>
      </w:r>
    </w:p>
    <w:p>
      <w:pPr>
        <w:ind w:left="420"/>
      </w:pPr>
      <w:r>
        <w:t xml:space="preserve">2. mit dem Ende der Auslegungsfrist der Beschluss dem Träger des Vorhabens, den Betroffenen, den Vereinigungen nach § 73 Absatz 2 Satz 1 Nummer 2 und denjenigen, die Einwendungen erhoben und Stellungnahmen abgegeben haben, als zugestellt gilt.</w:t>
      </w:r>
    </w:p>
    <w:p>
      <w:r>
        <w:t xml:space="preserve">(6) Die Planfeststellungsbehörde soll die Unterlagen nach Absatz 4 Satz 1 nach dem Ende der Auslegungsfrist mindestens bis zum Ende der Rechtsbehelfsfrist zur Information im Internet veröffentlichen.</w:t>
      </w:r>
    </w:p>
    <w:p>
      <w:r>
        <w:rPr>
          <w:color w:val="555555"/>
          <w:sz w:val="17"/>
        </w:rPr>
        <w:t xml:space="preserve">Zitiervorschlag: § 74 VwVfG</w:t>
      </w:r>
    </w:p>
    <w:p>
      <w:r>
        <w:rPr>
          <w:color w:val="555555"/>
          <w:sz w:val="17"/>
        </w:rPr>
        <w:t xml:space="preserve">Quelle: Bundesamt für Justiz, abgerufen 29.07.2026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https://recht.nulegal.eu/gesetze/VwVfG/74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