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VwVfG — Anwendung der Vorschriften über das Planfeststellungsverfahren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(1) Ist ein Planfeststellungsverfahren durch Rechtsvorschrift angeordnet, so gelten hierfür die §§ 73 bis 78 und, soweit sich aus ihnen nichts Abweichendes ergibt, die übrigen Vorschriften dieses Gesetzes; die §§ 51 und 71a bis 71e sind nicht anzuwenden, § 29 ist mit der Maßgabe anzuwenden, dass Akteneinsicht nach pflichtgemäßem Ermessen zu gewähren ist.</w:t>
      </w:r>
    </w:p>
    <w:p>
      <w:r>
        <w:t xml:space="preserve">(2) Die Mitteilung nach § 17 Absatz 2 Satz 2 und die Aufforderung nach § 17 Absatz 4 Satz 2 sind im Planfeststellungsverfahren öffentlich bekannt zu machen.</w:t>
      </w:r>
    </w:p>
    <w:p>
      <w:r>
        <w:rPr>
          <w:color w:val="555555"/>
          <w:sz w:val="17"/>
        </w:rPr>
        <w:t xml:space="preserve">Zitiervorschlag: § 72 VwVfG</w:t>
      </w:r>
    </w:p>
    <w:p>
      <w:r>
        <w:rPr>
          <w:color w:val="555555"/>
          <w:sz w:val="17"/>
        </w:rPr>
        <w:t xml:space="preserve">Quelle: Bundesamt für Justiz, abgerufen 29.07.2026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