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66 VwVfG — Verpflichtung zur Anhörung von Beteiligten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förmlichen Verwaltungsverfahren ist den Beteiligten Gelegenheit zu geben, sich vor der Entscheidung zu äußern.</w:t>
      </w:r>
    </w:p>
    <w:p>
      <w:r>
        <w:t xml:space="preserve">(2) Den Beteiligten ist Gelegenheit zu geben, der Vernehmung von Zeugen und Sachverständigen und der Einnahme des Augenscheins beizuwohnen und hierbei sachdienliche Fragen zu stellen; ein schriftlich oder elektronisch vorliegendes Gutachten soll ihnen zugänglich gemacht werden.</w:t>
      </w:r>
    </w:p>
    <w:p>
      <w:r>
        <w:rPr>
          <w:color w:val="555555"/>
          <w:sz w:val="17"/>
        </w:rPr>
        <w:t xml:space="preserve">Zitiervorschlag: § 66 VwVfG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https://recht.nulegal.eu/gesetze/VwVfG/66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