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VwVfG — Wiederaufgreifen des Verfahrens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Behörde hat auf Antrag des Betroffenen über die Aufhebung oder Änderung eines unanfechtbaren Verwaltungsaktes zu entscheiden, wenn</w:t>
      </w:r>
    </w:p>
    <w:p>
      <w:pPr>
        <w:ind w:left="420"/>
      </w:pPr>
      <w:r>
        <w:t xml:space="preserve">1. sich die dem Verwaltungsakt zugrunde liegende Sach- oder Rechtslage nachträglich zugunsten des Betroffenen geändert hat;</w:t>
      </w:r>
    </w:p>
    <w:p>
      <w:pPr>
        <w:ind w:left="420"/>
      </w:pPr>
      <w:r>
        <w:t xml:space="preserve">2. neue Beweismittel vorliegen, die eine dem Betroffenen günstigere Entscheidung herbeigeführt haben würden;</w:t>
      </w:r>
    </w:p>
    <w:p>
      <w:pPr>
        <w:ind w:left="420"/>
      </w:pPr>
      <w:r>
        <w:t xml:space="preserve">3. Wiederaufnahmegründe entsprechend § 580 der Zivilprozessordnung gegeben sind.</w:t>
      </w:r>
    </w:p>
    <w:p>
      <w:r>
        <w:t xml:space="preserve">(2) Der Antrag ist nur zulässig, wenn der Betroffene ohne grobes Verschulden außerstande war, den Grund für das Wiederaufgreifen in dem früheren Verfahren, insbesondere durch Rechtsbehelf, geltend zu machen.</w:t>
      </w:r>
    </w:p>
    <w:p>
      <w:r>
        <w:t xml:space="preserve">(3) Der Antrag muss binnen drei Monaten gestellt werden. Die Frist beginnt mit dem Tage, an dem der Betroffene von dem Grund für das Wiederaufgreifen Kenntnis erhalten hat.</w:t>
      </w:r>
    </w:p>
    <w:p>
      <w:r>
        <w:t xml:space="preserve">(4) Über den Antrag entscheidet die nach § 3 zuständige Behörde; dies gilt auch dann, wenn der Verwaltungsakt, dessen Aufhebung oder Änderung begehrt wird, von einer anderen Behörde erlassen worden ist.</w:t>
      </w:r>
    </w:p>
    <w:p>
      <w:r>
        <w:t xml:space="preserve">(5) Die Vorschriften des § 48 Abs. 1 Satz 1 und des § 49 Abs. 1 bleiben unberührt.</w:t>
      </w:r>
    </w:p>
    <w:p>
      <w:r>
        <w:rPr>
          <w:color w:val="555555"/>
          <w:sz w:val="17"/>
        </w:rPr>
        <w:t xml:space="preserve">Zitiervorschlag: § 51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