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VwVfG — Amtshilfepflicht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Behörde leistet anderen Behörden auf Ersuchen ergänzende Hilfe (Amtshilfe).</w:t>
      </w:r>
    </w:p>
    <w:p>
      <w:r>
        <w:t xml:space="preserve">(2) Amtshilfe liegt nicht vor, wenn</w:t>
      </w:r>
    </w:p>
    <w:p>
      <w:pPr>
        <w:ind w:left="420"/>
      </w:pPr>
      <w:r>
        <w:t xml:space="preserve">1. Behörden einander innerhalb eines bestehenden Weisungsverhältnisses Hilfe leisten;</w:t>
      </w:r>
    </w:p>
    <w:p>
      <w:pPr>
        <w:ind w:left="420"/>
      </w:pPr>
      <w:r>
        <w:t xml:space="preserve">2. die Hilfeleistung in Handlungen besteht, die der ersuchten Behörde als eigene Aufgabe obliegen.</w:t>
      </w:r>
    </w:p>
    <w:p>
      <w:r>
        <w:rPr>
          <w:color w:val="555555"/>
          <w:sz w:val="17"/>
        </w:rPr>
        <w:t xml:space="preserve">Zitiervorschlag: § 4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