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VwVfG — Geheimhaltung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29.07.2026 (konsolidierte Textfassung, kein amtliches Inkrafttretensdatum)</w:t>
      </w:r>
    </w:p>
    <w:p>
      <w:r>
        <w:t xml:space="preserve">Die Beteiligten haben Anspruch darauf, dass ihre Geheimnisse, insbesondere die zum persönlichen Lebensbereich gehörenden Geheimnisse sowie die Betriebs- und Geschäftsgeheimnisse und sonstige geheimhaltungsbedürftige Daten, die Teile einer Infrastruktur betreffen, die</w:t>
      </w:r>
    </w:p>
    <w:p>
      <w:pPr>
        <w:ind w:left="420"/>
      </w:pPr>
      <w:r>
        <w:t xml:space="preserve">1. entweder durch Rechtsvorschrift als kritische Infrastruktur bestimmt worden sind oder</w:t>
      </w:r>
    </w:p>
    <w:p>
      <w:pPr>
        <w:ind w:left="420"/>
      </w:pPr>
      <w:r>
        <w:t xml:space="preserve">2. besonders schutzbedürftig zur Wahrung der öffentlichen Sicherheit und für die Funktionsfähigkeit der Infrastruktur maßgeblich sind,</w:t>
      </w:r>
    </w:p>
    <w:p>
      <w:r>
        <w:t xml:space="preserve">von der Behörde nicht unbefugt offenbart werden.</w:t>
      </w:r>
    </w:p>
    <w:p>
      <w:r>
        <w:rPr>
          <w:color w:val="555555"/>
          <w:sz w:val="17"/>
        </w:rPr>
        <w:t xml:space="preserve">Zitiervorschlag: § 30 VwVfG</w:t>
      </w:r>
    </w:p>
    <w:p>
      <w:r>
        <w:rPr>
          <w:color w:val="555555"/>
          <w:sz w:val="17"/>
        </w:rPr>
        <w:t xml:space="preserve">Quelle: Bundesamt für Justiz, abgerufen 29.07.2026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