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27a VwVfG — Bekanntmachung im Internet</w:t>
      </w:r>
    </w:p>
    <w:p>
      <w:r>
        <w:rPr>
          <w:color w:val="555555"/>
          <w:sz w:val="18"/>
        </w:rPr>
        <w:t xml:space="preserve">Verwaltungsverfahrensgesetz</w:t>
      </w:r>
    </w:p>
    <w:p>
      <w:r>
        <w:rPr>
          <w:color w:val="555555"/>
          <w:sz w:val="18"/>
        </w:rPr>
        <w:t xml:space="preserve">Stand: 29.07.2026 (konsolidierte Textfassung, kein amtliches Inkrafttretensdatum)</w:t>
      </w:r>
    </w:p>
    <w:p>
      <w:r>
        <w:t xml:space="preserve">(1) Ist durch Rechtsvorschrift eine öffentliche oder ortsübliche Bekanntmachung angeordnet, erfolgt sie dadurch, dass der Inhalt der Bekanntmachung auf einer Internetseite der Behörde oder ihres Verwaltungsträgers veröffentlicht wird. Soweit durch Rechtsvorschrift nichts anderes bestimmt ist, ist für die Einhaltung einer vorgeschriebenen Frist die Veröffentlichung im Internet nach Satz 1 maßgeblich.</w:t>
      </w:r>
    </w:p>
    <w:p>
      <w:r>
        <w:t xml:space="preserve">(2) Ist eine Veröffentlichung im Internet insbesondere aus technischen Gründen, nicht möglich, bestimmt die Behörde eine andere Art der Bekanntmachung. Abweichend von Absatz 1 Satz 2 ist für die Einhaltung einer vorgeschriebenen Frist die Bekanntmachung auf diese Weise maßgeblich.</w:t>
      </w:r>
    </w:p>
    <w:p>
      <w:r>
        <w:rPr>
          <w:color w:val="555555"/>
          <w:sz w:val="17"/>
        </w:rPr>
        <w:t xml:space="preserve">Zitiervorschlag: § 27a VwVfG</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https://recht.nulegal.eu/gesetze/VwVfG/27a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