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VwVfG — Beteiligungsfähigkeit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Fähig, am Verfahren beteiligt zu sein, sind</w:t>
      </w:r>
    </w:p>
    <w:p>
      <w:pPr>
        <w:ind w:left="420"/>
      </w:pPr>
      <w:r>
        <w:t xml:space="preserve">1. natürliche und juristische Personen,</w:t>
      </w:r>
    </w:p>
    <w:p>
      <w:pPr>
        <w:ind w:left="420"/>
      </w:pPr>
      <w:r>
        <w:t xml:space="preserve">2. Vereinigungen, soweit ihnen ein Recht zustehen kann,</w:t>
      </w:r>
    </w:p>
    <w:p>
      <w:pPr>
        <w:ind w:left="420"/>
      </w:pPr>
      <w:r>
        <w:t xml:space="preserve">3. Behörden.</w:t>
      </w:r>
    </w:p>
    <w:p>
      <w:r>
        <w:rPr>
          <w:color w:val="555555"/>
          <w:sz w:val="17"/>
        </w:rPr>
        <w:t xml:space="preserve">Zitiervorschlag: § 11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