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VwVfG — Landesgesetzliche Regelungen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Länder können durch Gesetz</w:t>
      </w:r>
    </w:p>
    <w:p>
      <w:pPr>
        <w:ind w:left="420"/>
      </w:pPr>
      <w:r>
        <w:t xml:space="preserve">1. eine dem § 16 entsprechende Regelung treffen;</w:t>
      </w:r>
    </w:p>
    <w:p>
      <w:pPr>
        <w:ind w:left="420"/>
      </w:pPr>
      <w:r>
        <w:t xml:space="preserve">2. bestimmen, dass für Planfeststellungen, die auf Grund landesrechtlicher Vorschriften durchgeführt werden, die Rechtswirkungen des § 75 Abs. 1 Satz 1 auch gegenüber nach Bundesrecht notwendigen Entscheidungen gelten.</w:t>
      </w:r>
    </w:p>
    <w:p>
      <w:r>
        <w:rPr>
          <w:color w:val="555555"/>
          <w:sz w:val="17"/>
        </w:rPr>
        <w:t xml:space="preserve">Zitiervorschlag: § 100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