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VwVGBbg (Brandenburg) — Vollstreckungshilfe</w:t>
      </w:r>
    </w:p>
    <w:p>
      <w:r>
        <w:rPr>
          <w:color w:val="555555"/>
          <w:sz w:val="18"/>
        </w:rPr>
        <w:t xml:space="preserve">Verwaltungsvollstreckungsgesetz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Inländischen Behörden ist auf Ersuchen Vollstreckungshilfe zu leisten, wenn die Voraussetzungen für die Gewährung von Amtshilfe erfüllt sind. Ausländischen Behörden darf Vollstreckungshilfe nur geleistet werden, wenn dies in einer völkerrechtlichen Vereinbarung oder in einem Rechtsakt der Europäischen Union vorgesehen ist.</w:t>
      </w:r>
    </w:p>
    <w:p>
      <w:r>
        <w:t xml:space="preserve">(2) Einem Vollstreckungsersuchen darf, soweit nichts anderes bestimmt ist, nur entsprochen werden, wenn es folgende Angaben enthält:</w:t>
      </w:r>
    </w:p>
    <w:p>
      <w:r>
        <w:t xml:space="preserve">die Bezeichnung der ersuchenden Behörde sowie die Unterschrift oder die Namenswiedergabe der Behördenleiterin, des Behördenleiters oder deren Beauftragten; bei einem Vollstreckungsersuchen, das mit Hilfe automatischer Einrichtungen erstellt ist, kann die Unterschrift fehlen,</w:t>
      </w:r>
    </w:p>
    <w:p>
      <w:r>
        <w:t xml:space="preserve">die Bezeichnung des zu vollstreckenden Verwaltungsaktes unter Angabe der erlassenden Behörde,</w:t>
      </w:r>
    </w:p>
    <w:p>
      <w:r>
        <w:t xml:space="preserve">die Angabe der Verpflichtung des Vollstreckungsschuldners, im Falle der Beitreibung die Angabe des Grundes und der Höhe der Geldforderung,</w:t>
      </w:r>
    </w:p>
    <w:p>
      <w:r>
        <w:t xml:space="preserve">die Angabe, dass der Verwaltungsakt unanfechtbar geworden ist, ein gegen ihn gerichteter Rechtsbehelf kraft Gesetzes keine aufschiebende Wirkung hat oder seine sofortige Vollziehung angeordnet worden ist; im Falle der Vollstreckung aus einem öffentlich-rechtlichen Vertrag die Angabe, dass sich die Schuldnerin oder der Schuldner in dem Vertrag wirksam der sofortigen Vollstreckung unterworfen hat und die sonstigen Voraussetzungen der Vollstreckung aus dem Vertrag vorliegen,</w:t>
      </w:r>
    </w:p>
    <w:p>
      <w:r>
        <w:t xml:space="preserve">die Bezeichnung des Vollstreckungsschuldners,</w:t>
      </w:r>
    </w:p>
    <w:p>
      <w:r>
        <w:t xml:space="preserve">im Falle der Beitreibung die Angabe, dass der Vollstreckungsschuldner gemahnt worden ist oder aus welchem Grund die Mahnung unterblieben ist.</w:t>
      </w:r>
    </w:p>
    <w:p>
      <w:r>
        <w:t xml:space="preserve">(3) Treten Umstände ein, welche die Einstellung, Beschränkung oder Aufhebung der Vollstreckung notwendig machen, ist die ersuchte Behörde unverzüglich zu unterrichten.</w:t>
      </w:r>
    </w:p>
    <w:p>
      <w:r>
        <w:t xml:space="preserve">(4) Die Zulässigkeit der Vollstreckung richtet sich nach dem für die ersuchende Behörde, die Durchführung der Vollstreckungshilfe nach dem für die ersuchte Behörde geltenden Recht. Die ersuchende Behörde trägt gegenüber der ersuchten Behörde die Verantwortung für die Rechtmäßigkeit der Vollstreckung. Die ersuchte Behörde ist für die Durchführung der Vollstreckungshilfe verantwortlich.</w:t>
      </w:r>
    </w:p>
    <w:p>
      <w:r>
        <w:rPr>
          <w:color w:val="555555"/>
          <w:sz w:val="17"/>
        </w:rPr>
        <w:t xml:space="preserve">Zitiervorschlag: § 4 VwVGBbg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https://recht.nulegal.eu/gesetze/VwVGBbg/4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