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VwVGBbg (Brandenburg) — Allgemeine Voraussetzungen der Vollstreckung</w:t>
      </w:r>
    </w:p>
    <w:p>
      <w:r>
        <w:rPr>
          <w:color w:val="555555"/>
          <w:sz w:val="18"/>
        </w:rPr>
        <w:t xml:space="preserve">Verwaltungsvollstreckungsgesetz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Ein Verwaltungsakt, der zu einer Geldleistung, einer sonstigen Handlung, Duldung oder Unterlassung verpflichtet, kann vollstreckt werden, wenn</w:t>
      </w:r>
    </w:p>
    <w:p>
      <w:r>
        <w:t xml:space="preserve">er unanfechtbar geworden ist,</w:t>
      </w:r>
    </w:p>
    <w:p>
      <w:r>
        <w:t xml:space="preserve">ein gegen ihn gerichteter Rechtsbehelf keine aufschiebende Wirkung hat und</w:t>
      </w:r>
    </w:p>
    <w:p>
      <w:r>
        <w:t xml:space="preserve">die sonstigen Vollstreckungsvoraussetzungen erfüllt sind.</w:t>
      </w:r>
    </w:p>
    <w:p>
      <w:r>
        <w:rPr>
          <w:color w:val="555555"/>
          <w:sz w:val="17"/>
        </w:rPr>
        <w:t xml:space="preserve">Zitiervorschlag: § 3 VwVGBbg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https://recht.nulegal.eu/gesetze/VwVGBbg/3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